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6D32" w14:textId="77777777" w:rsidR="00172BAF" w:rsidRDefault="008E0FFE">
      <w:pPr>
        <w:pStyle w:val="Heading"/>
        <w:keepLines/>
        <w:suppressAutoHyphens/>
        <w:spacing w:before="240" w:line="254" w:lineRule="auto"/>
        <w:rPr>
          <w:rFonts w:ascii="Calibri Light" w:eastAsia="Calibri Light" w:hAnsi="Calibri Light" w:cs="Calibri Light"/>
          <w:b w:val="0"/>
          <w:bCs w:val="0"/>
          <w:color w:val="2F5496"/>
          <w:sz w:val="32"/>
          <w:szCs w:val="32"/>
          <w:u w:color="2F5496"/>
        </w:rPr>
      </w:pPr>
      <w:r>
        <w:rPr>
          <w:rFonts w:ascii="Calibri Light" w:hAnsi="Calibri Light"/>
          <w:b w:val="0"/>
          <w:bCs w:val="0"/>
          <w:color w:val="2F5496"/>
          <w:sz w:val="32"/>
          <w:szCs w:val="32"/>
          <w:u w:color="2F5496"/>
        </w:rPr>
        <w:t>Sunday 12</w:t>
      </w:r>
      <w:proofErr w:type="spellStart"/>
      <w:r>
        <w:rPr>
          <w:rFonts w:ascii="Calibri Light" w:hAnsi="Calibri Light"/>
          <w:b w:val="0"/>
          <w:bCs w:val="0"/>
          <w:color w:val="2F5496"/>
          <w:position w:val="12"/>
          <w:sz w:val="26"/>
          <w:szCs w:val="26"/>
          <w:u w:color="2F5496"/>
        </w:rPr>
        <w:t>th</w:t>
      </w:r>
      <w:proofErr w:type="spellEnd"/>
      <w:r>
        <w:rPr>
          <w:rFonts w:ascii="Calibri Light" w:hAnsi="Calibri Light"/>
          <w:b w:val="0"/>
          <w:bCs w:val="0"/>
          <w:color w:val="2F5496"/>
          <w:sz w:val="32"/>
          <w:szCs w:val="32"/>
          <w:u w:color="2F5496"/>
        </w:rPr>
        <w:t xml:space="preserve"> </w:t>
      </w:r>
      <w:r>
        <w:rPr>
          <w:rFonts w:ascii="Calibri Light" w:hAnsi="Calibri Light"/>
          <w:b w:val="0"/>
          <w:bCs w:val="0"/>
          <w:color w:val="2F5496"/>
          <w:sz w:val="32"/>
          <w:szCs w:val="32"/>
          <w:u w:color="2F5496"/>
        </w:rPr>
        <w:t>April</w:t>
      </w:r>
      <w:r>
        <w:rPr>
          <w:rFonts w:ascii="Calibri Light" w:hAnsi="Calibri Light"/>
          <w:b w:val="0"/>
          <w:bCs w:val="0"/>
          <w:color w:val="2F5496"/>
          <w:sz w:val="32"/>
          <w:szCs w:val="32"/>
          <w:u w:color="2F5496"/>
        </w:rPr>
        <w:t xml:space="preserve"> – </w:t>
      </w:r>
      <w:r>
        <w:rPr>
          <w:rFonts w:ascii="Calibri Light" w:hAnsi="Calibri Light"/>
          <w:b w:val="0"/>
          <w:bCs w:val="0"/>
          <w:color w:val="2F5496"/>
          <w:sz w:val="32"/>
          <w:szCs w:val="32"/>
          <w:u w:color="2F5496"/>
        </w:rPr>
        <w:t>Connect Group Notes</w:t>
      </w:r>
    </w:p>
    <w:p w14:paraId="1B896BE6" w14:textId="77777777" w:rsidR="00D22213" w:rsidRPr="00D22213" w:rsidRDefault="00D22213">
      <w:pPr>
        <w:pStyle w:val="Heading3"/>
        <w:keepLines/>
        <w:pBdr>
          <w:top w:val="nil"/>
        </w:pBdr>
        <w:spacing w:before="40" w:after="0" w:line="259" w:lineRule="auto"/>
        <w:rPr>
          <w:rFonts w:ascii="Calibri Light" w:hAnsi="Calibri Light"/>
          <w:color w:val="1F3763"/>
          <w:spacing w:val="0"/>
          <w:kern w:val="2"/>
          <w:sz w:val="16"/>
          <w:szCs w:val="16"/>
          <w:u w:color="1F3763"/>
        </w:rPr>
      </w:pPr>
    </w:p>
    <w:p w14:paraId="3A000D7A" w14:textId="762C4614" w:rsidR="00172BAF" w:rsidRPr="00D22213" w:rsidRDefault="008E0FFE">
      <w:pPr>
        <w:pStyle w:val="Heading3"/>
        <w:keepLines/>
        <w:pBdr>
          <w:top w:val="nil"/>
        </w:pBdr>
        <w:spacing w:before="40" w:after="0" w:line="259" w:lineRule="auto"/>
        <w:rPr>
          <w:rFonts w:ascii="Calibri Light" w:eastAsia="Calibri Light" w:hAnsi="Calibri Light" w:cs="Calibri Light"/>
          <w:color w:val="1F3763"/>
          <w:spacing w:val="0"/>
          <w:kern w:val="2"/>
          <w:u w:color="1F3763"/>
        </w:rPr>
      </w:pPr>
      <w:r w:rsidRPr="00D22213">
        <w:rPr>
          <w:rFonts w:ascii="Calibri Light" w:hAnsi="Calibri Light"/>
          <w:color w:val="1F3763"/>
          <w:spacing w:val="0"/>
          <w:kern w:val="2"/>
          <w:u w:color="1F3763"/>
        </w:rPr>
        <w:t>Why Meals Matter</w:t>
      </w:r>
    </w:p>
    <w:p w14:paraId="2F11D3F8" w14:textId="77777777" w:rsidR="00172BAF" w:rsidRPr="00D22213" w:rsidRDefault="008E0FFE">
      <w:pPr>
        <w:pStyle w:val="Heading3"/>
        <w:keepLines/>
        <w:pBdr>
          <w:top w:val="nil"/>
        </w:pBdr>
        <w:spacing w:before="40" w:after="0" w:line="259" w:lineRule="auto"/>
        <w:rPr>
          <w:rFonts w:ascii="Calibri Light" w:eastAsia="Calibri Light" w:hAnsi="Calibri Light" w:cs="Calibri Light"/>
          <w:color w:val="1F3763"/>
          <w:spacing w:val="0"/>
          <w:kern w:val="2"/>
          <w:u w:color="1F3763"/>
        </w:rPr>
      </w:pPr>
      <w:r w:rsidRPr="00D22213">
        <w:rPr>
          <w:rFonts w:ascii="Calibri Light" w:hAnsi="Calibri Light"/>
          <w:color w:val="1F3763"/>
          <w:spacing w:val="0"/>
          <w:kern w:val="2"/>
          <w:u w:color="1F3763"/>
        </w:rPr>
        <w:t>Luke 7: 31-35</w:t>
      </w:r>
    </w:p>
    <w:p w14:paraId="59FD91FB" w14:textId="77777777" w:rsidR="00172BAF" w:rsidRDefault="00172BAF">
      <w:pPr>
        <w:pStyle w:val="Body"/>
      </w:pPr>
    </w:p>
    <w:p w14:paraId="1E3DB14B" w14:textId="77777777" w:rsidR="00D22213" w:rsidRDefault="00D22213">
      <w:pPr>
        <w:pStyle w:val="Body"/>
      </w:pPr>
    </w:p>
    <w:p w14:paraId="6FD62F8F" w14:textId="77777777" w:rsidR="00172BAF" w:rsidRDefault="008E0FFE">
      <w:pPr>
        <w:pStyle w:val="Body"/>
        <w:rPr>
          <w:u w:val="single"/>
        </w:rPr>
      </w:pPr>
      <w:r>
        <w:rPr>
          <w:u w:val="single"/>
        </w:rPr>
        <w:t>Background to passage</w:t>
      </w:r>
    </w:p>
    <w:p w14:paraId="06EB77F0" w14:textId="77777777" w:rsidR="00172BAF" w:rsidRDefault="008E0FFE">
      <w:pPr>
        <w:pStyle w:val="Body"/>
        <w:numPr>
          <w:ilvl w:val="0"/>
          <w:numId w:val="2"/>
        </w:numPr>
        <w:rPr>
          <w:u w:val="single"/>
        </w:rPr>
      </w:pPr>
      <w:r>
        <w:t xml:space="preserve">John the Baptist was having doubts that Jesus was ‘the one who was to come’ </w:t>
      </w:r>
      <w:r>
        <w:t>(v20). Why do you think this was? To what extent have we made Jesus fit our expectations?</w:t>
      </w:r>
    </w:p>
    <w:p w14:paraId="1264F6C0" w14:textId="77777777" w:rsidR="00172BAF" w:rsidRDefault="00172BAF">
      <w:pPr>
        <w:pStyle w:val="Body"/>
      </w:pPr>
    </w:p>
    <w:p w14:paraId="465ADEF1" w14:textId="77777777" w:rsidR="00172BAF" w:rsidRDefault="008E0FFE">
      <w:pPr>
        <w:pStyle w:val="Body"/>
        <w:rPr>
          <w:u w:val="single"/>
        </w:rPr>
      </w:pPr>
      <w:r>
        <w:rPr>
          <w:u w:val="single"/>
        </w:rPr>
        <w:t xml:space="preserve">Main passage (vv31-34) </w:t>
      </w:r>
    </w:p>
    <w:p w14:paraId="2727B06C" w14:textId="77777777" w:rsidR="00172BAF" w:rsidRDefault="008E0FFE">
      <w:pPr>
        <w:pStyle w:val="Body"/>
      </w:pPr>
      <w:r>
        <w:t>Questions 2-5 overlap or express the same thought in a different way so please feel free to select those questions that work best for you.</w:t>
      </w:r>
    </w:p>
    <w:p w14:paraId="38A7F627" w14:textId="77777777" w:rsidR="00172BAF" w:rsidRDefault="00172BAF">
      <w:pPr>
        <w:pStyle w:val="Body"/>
      </w:pPr>
    </w:p>
    <w:p w14:paraId="1E9B049F" w14:textId="77777777" w:rsidR="00172BAF" w:rsidRDefault="008E0FFE">
      <w:pPr>
        <w:pStyle w:val="Body"/>
        <w:numPr>
          <w:ilvl w:val="0"/>
          <w:numId w:val="2"/>
        </w:numPr>
        <w:rPr>
          <w:u w:val="single"/>
        </w:rPr>
      </w:pPr>
      <w:r>
        <w:t>It was suggested that we take the gospel to where people are rather than relying on bringing people to where we are? What do you think of this idea? How do you think the Bible supports your view?</w:t>
      </w:r>
    </w:p>
    <w:p w14:paraId="3C0D020E" w14:textId="77777777" w:rsidR="00172BAF" w:rsidRDefault="00172BAF">
      <w:pPr>
        <w:pStyle w:val="Body"/>
      </w:pPr>
    </w:p>
    <w:p w14:paraId="5A14B910" w14:textId="77777777" w:rsidR="00172BAF" w:rsidRDefault="008E0FFE">
      <w:pPr>
        <w:pStyle w:val="Body"/>
        <w:numPr>
          <w:ilvl w:val="0"/>
          <w:numId w:val="2"/>
        </w:numPr>
        <w:rPr>
          <w:u w:val="single"/>
        </w:rPr>
      </w:pPr>
      <w:r>
        <w:t>How far does our missional outlook embrace hospitality in our own homes rather than within the church building?</w:t>
      </w:r>
    </w:p>
    <w:p w14:paraId="680C7CD1" w14:textId="77777777" w:rsidR="00172BAF" w:rsidRDefault="00172BAF">
      <w:pPr>
        <w:pStyle w:val="Body"/>
      </w:pPr>
    </w:p>
    <w:p w14:paraId="421D4E3E" w14:textId="77777777" w:rsidR="00172BAF" w:rsidRDefault="008E0FFE">
      <w:pPr>
        <w:pStyle w:val="Body"/>
        <w:numPr>
          <w:ilvl w:val="0"/>
          <w:numId w:val="2"/>
        </w:numPr>
        <w:rPr>
          <w:u w:val="single"/>
        </w:rPr>
      </w:pPr>
      <w:r>
        <w:t xml:space="preserve">The Pharisees and experts in the law were unable to accept the ministry of both John the Baptist and Jesus because neither of them behaved in ways they could identify with. To what extent might our attitudes to community engagement be </w:t>
      </w:r>
      <w:proofErr w:type="gramStart"/>
      <w:r>
        <w:t>similar to</w:t>
      </w:r>
      <w:proofErr w:type="gramEnd"/>
      <w:r>
        <w:t xml:space="preserve"> those of the Pharisees and experts in the law?</w:t>
      </w:r>
    </w:p>
    <w:p w14:paraId="794F8513" w14:textId="77777777" w:rsidR="00172BAF" w:rsidRDefault="00172BAF">
      <w:pPr>
        <w:pStyle w:val="Body"/>
      </w:pPr>
    </w:p>
    <w:p w14:paraId="7AB120F6" w14:textId="77777777" w:rsidR="00172BAF" w:rsidRDefault="008E0FFE">
      <w:pPr>
        <w:pStyle w:val="Body"/>
        <w:numPr>
          <w:ilvl w:val="0"/>
          <w:numId w:val="2"/>
        </w:numPr>
        <w:rPr>
          <w:u w:val="single"/>
        </w:rPr>
      </w:pPr>
      <w:r>
        <w:t>How do we choose the company we spend time with?</w:t>
      </w:r>
    </w:p>
    <w:p w14:paraId="784A6F54" w14:textId="77777777" w:rsidR="00172BAF" w:rsidRDefault="00172BAF">
      <w:pPr>
        <w:pStyle w:val="Body"/>
      </w:pPr>
    </w:p>
    <w:p w14:paraId="5A9DF45B" w14:textId="77777777" w:rsidR="00172BAF" w:rsidRDefault="008E0FFE">
      <w:pPr>
        <w:pStyle w:val="Body"/>
        <w:numPr>
          <w:ilvl w:val="0"/>
          <w:numId w:val="2"/>
        </w:numPr>
        <w:rPr>
          <w:u w:val="single"/>
        </w:rPr>
      </w:pPr>
      <w:r>
        <w:t xml:space="preserve">Do you have any </w:t>
      </w:r>
      <w:proofErr w:type="gramStart"/>
      <w:r>
        <w:t>past experience</w:t>
      </w:r>
      <w:proofErr w:type="gramEnd"/>
      <w:r>
        <w:t xml:space="preserve"> from other church settings that might be relevant?</w:t>
      </w:r>
    </w:p>
    <w:p w14:paraId="78B43739" w14:textId="77777777" w:rsidR="00172BAF" w:rsidRDefault="00172BAF">
      <w:pPr>
        <w:pStyle w:val="Body"/>
      </w:pPr>
    </w:p>
    <w:p w14:paraId="34B782B0" w14:textId="14073812" w:rsidR="00172BAF" w:rsidRDefault="008E0FFE">
      <w:pPr>
        <w:pStyle w:val="Body"/>
        <w:numPr>
          <w:ilvl w:val="0"/>
          <w:numId w:val="2"/>
        </w:numPr>
        <w:rPr>
          <w:u w:val="single"/>
        </w:rPr>
      </w:pPr>
      <w:r>
        <w:t>Jesus often used the phrase from the Old Testament ‘Son of Man’ to describe himself. In Ezekiel the phrase seems to refer just to human beings</w:t>
      </w:r>
      <w:r w:rsidR="00D22213">
        <w:t>,</w:t>
      </w:r>
      <w:r>
        <w:t xml:space="preserve"> but Jesus seems to have had a particular passage from Daniel in mind (see Daniel 7: 13 &amp; 14) to </w:t>
      </w:r>
      <w:proofErr w:type="spellStart"/>
      <w:r>
        <w:t>emphasise</w:t>
      </w:r>
      <w:proofErr w:type="spellEnd"/>
      <w:r>
        <w:t xml:space="preserve"> he was indeed Messiah.  Do we completely accept that Jesus is both fully God and fully human? What are the implications if we do and if we don’t?</w:t>
      </w:r>
    </w:p>
    <w:p w14:paraId="7F1D72E0" w14:textId="77777777" w:rsidR="00172BAF" w:rsidRDefault="00172BAF">
      <w:pPr>
        <w:pStyle w:val="Body"/>
      </w:pPr>
    </w:p>
    <w:p w14:paraId="5B2FE183" w14:textId="56EB549A" w:rsidR="00D22213" w:rsidRDefault="008E0FFE">
      <w:pPr>
        <w:pStyle w:val="Body"/>
        <w:rPr>
          <w:u w:val="single"/>
        </w:rPr>
      </w:pPr>
      <w:r>
        <w:rPr>
          <w:u w:val="single"/>
        </w:rPr>
        <w:t>Who was right: Jesus or the religious leaders? (v35)</w:t>
      </w:r>
    </w:p>
    <w:p w14:paraId="7B9A6894" w14:textId="77777777" w:rsidR="00172BAF" w:rsidRDefault="008E0FFE">
      <w:pPr>
        <w:pStyle w:val="Body"/>
        <w:numPr>
          <w:ilvl w:val="0"/>
          <w:numId w:val="2"/>
        </w:numPr>
        <w:rPr>
          <w:u w:val="single"/>
        </w:rPr>
      </w:pPr>
      <w:r>
        <w:t>“</w:t>
      </w:r>
      <w:proofErr w:type="gramStart"/>
      <w:r>
        <w:t>….Wisdom</w:t>
      </w:r>
      <w:proofErr w:type="gramEnd"/>
      <w:r>
        <w:t xml:space="preserve"> is proved right by all her children” or using a culinary saying ‘the proof of the pudding is in the eating’. In other words, what followed would be a vindication of the claims Jesus made. Which subsequent events in Jesus’ life would you point to as examples of how this worked out in practice? (v35)</w:t>
      </w:r>
    </w:p>
    <w:p w14:paraId="6DAAF3CB" w14:textId="77777777" w:rsidR="00172BAF" w:rsidRDefault="00172BAF">
      <w:pPr>
        <w:pStyle w:val="Body"/>
      </w:pPr>
    </w:p>
    <w:p w14:paraId="5257A0AA" w14:textId="77777777" w:rsidR="00172BAF" w:rsidRDefault="008E0FFE">
      <w:pPr>
        <w:pStyle w:val="Body"/>
      </w:pPr>
      <w:r>
        <w:rPr>
          <w:u w:val="single"/>
        </w:rPr>
        <w:t>General</w:t>
      </w:r>
    </w:p>
    <w:p w14:paraId="06BB8595" w14:textId="77777777" w:rsidR="00172BAF" w:rsidRDefault="008E0FFE">
      <w:pPr>
        <w:pStyle w:val="Body"/>
        <w:numPr>
          <w:ilvl w:val="0"/>
          <w:numId w:val="2"/>
        </w:numPr>
        <w:rPr>
          <w:u w:val="single"/>
        </w:rPr>
      </w:pPr>
      <w:r>
        <w:t xml:space="preserve">What one change in your life are you contemplating </w:t>
      </w:r>
      <w:proofErr w:type="gramStart"/>
      <w:r>
        <w:t>as a result of</w:t>
      </w:r>
      <w:proofErr w:type="gramEnd"/>
      <w:r>
        <w:t xml:space="preserve"> this passage and the points it raises?</w:t>
      </w:r>
    </w:p>
    <w:sectPr w:rsidR="00172BA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A6E6" w14:textId="77777777" w:rsidR="008E0FFE" w:rsidRDefault="008E0FFE">
      <w:r>
        <w:separator/>
      </w:r>
    </w:p>
  </w:endnote>
  <w:endnote w:type="continuationSeparator" w:id="0">
    <w:p w14:paraId="05E3D99F" w14:textId="77777777" w:rsidR="008E0FFE" w:rsidRDefault="008E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C60F" w14:textId="77777777" w:rsidR="00172BAF" w:rsidRDefault="00172B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3512" w14:textId="77777777" w:rsidR="008E0FFE" w:rsidRDefault="008E0FFE">
      <w:r>
        <w:separator/>
      </w:r>
    </w:p>
  </w:footnote>
  <w:footnote w:type="continuationSeparator" w:id="0">
    <w:p w14:paraId="585593A6" w14:textId="77777777" w:rsidR="008E0FFE" w:rsidRDefault="008E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6C0C" w14:textId="77777777" w:rsidR="00172BAF" w:rsidRDefault="00172B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E14C6"/>
    <w:multiLevelType w:val="hybridMultilevel"/>
    <w:tmpl w:val="4AA2AA28"/>
    <w:styleLink w:val="Numbered"/>
    <w:lvl w:ilvl="0" w:tplc="442A73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C400E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1AF8E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42D24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9A27D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AC079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8036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A4407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7008F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9C57454"/>
    <w:multiLevelType w:val="hybridMultilevel"/>
    <w:tmpl w:val="4AA2AA28"/>
    <w:numStyleLink w:val="Numbered"/>
  </w:abstractNum>
  <w:num w:numId="1" w16cid:durableId="133759752">
    <w:abstractNumId w:val="0"/>
  </w:num>
  <w:num w:numId="2" w16cid:durableId="251552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BAF"/>
    <w:rsid w:val="00172BAF"/>
    <w:rsid w:val="008E0FFE"/>
    <w:rsid w:val="00D22213"/>
    <w:rsid w:val="00D83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A707"/>
  <w15:docId w15:val="{86A9B97A-CD87-429F-8A7B-C9E2916D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next w:val="Body"/>
    <w:uiPriority w:val="9"/>
    <w:unhideWhenUsed/>
    <w:qFormat/>
    <w:pPr>
      <w:keepNext/>
      <w:pBdr>
        <w:top w:val="single" w:sz="4" w:space="3" w:color="515151"/>
      </w:pBdr>
      <w:spacing w:before="360" w:after="40" w:line="288" w:lineRule="auto"/>
      <w:outlineLvl w:val="2"/>
    </w:pPr>
    <w:rPr>
      <w:rFonts w:ascii="Helvetica Neue" w:hAnsi="Helvetica Neue" w:cs="Arial Unicode MS"/>
      <w:color w:val="000000"/>
      <w:spacing w:val="5"/>
      <w:sz w:val="28"/>
      <w:szCs w:val="28"/>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keepNext/>
      <w:outlineLvl w:val="0"/>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B2D8382307C4FA2E80517B76D8BF5" ma:contentTypeVersion="18" ma:contentTypeDescription="Create a new document." ma:contentTypeScope="" ma:versionID="a0e9660da9313a72d60fbab9561bcd03">
  <xsd:schema xmlns:xsd="http://www.w3.org/2001/XMLSchema" xmlns:xs="http://www.w3.org/2001/XMLSchema" xmlns:p="http://schemas.microsoft.com/office/2006/metadata/properties" xmlns:ns2="c9c1e1aa-17fe-4001-9d82-690f2fe35e0a" xmlns:ns3="75f3135f-52dc-4a59-9b4e-b235297b06ae" targetNamespace="http://schemas.microsoft.com/office/2006/metadata/properties" ma:root="true" ma:fieldsID="d5d7e5859786a57b740c0cbfe07019b3" ns2:_="" ns3:_="">
    <xsd:import namespace="c9c1e1aa-17fe-4001-9d82-690f2fe35e0a"/>
    <xsd:import namespace="75f3135f-52dc-4a59-9b4e-b235297b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1e1aa-17fe-4001-9d82-690f2fe35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2148fc-70a4-4d7c-b89e-cde447813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3135f-52dc-4a59-9b4e-b235297b0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d46c1c-8175-4308-a68a-f4f7aa4b3e72}" ma:internalName="TaxCatchAll" ma:showField="CatchAllData" ma:web="75f3135f-52dc-4a59-9b4e-b235297b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c1e1aa-17fe-4001-9d82-690f2fe35e0a">
      <Terms xmlns="http://schemas.microsoft.com/office/infopath/2007/PartnerControls"/>
    </lcf76f155ced4ddcb4097134ff3c332f>
    <TaxCatchAll xmlns="75f3135f-52dc-4a59-9b4e-b235297b06ae" xsi:nil="true"/>
  </documentManagement>
</p:properties>
</file>

<file path=customXml/itemProps1.xml><?xml version="1.0" encoding="utf-8"?>
<ds:datastoreItem xmlns:ds="http://schemas.openxmlformats.org/officeDocument/2006/customXml" ds:itemID="{94BD8815-D35F-4CB3-99A1-81B0CBA29CC5}"/>
</file>

<file path=customXml/itemProps2.xml><?xml version="1.0" encoding="utf-8"?>
<ds:datastoreItem xmlns:ds="http://schemas.openxmlformats.org/officeDocument/2006/customXml" ds:itemID="{155721C0-1C81-42D8-80B0-044AF4FB4ABC}"/>
</file>

<file path=customXml/itemProps3.xml><?xml version="1.0" encoding="utf-8"?>
<ds:datastoreItem xmlns:ds="http://schemas.openxmlformats.org/officeDocument/2006/customXml" ds:itemID="{2215BEDE-FED4-48D8-AEF4-B3259E3629B1}"/>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1735</Characters>
  <Application>Microsoft Office Word</Application>
  <DocSecurity>4</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Baptist Church</dc:creator>
  <cp:lastModifiedBy>Melanie Lawes</cp:lastModifiedBy>
  <cp:revision>2</cp:revision>
  <dcterms:created xsi:type="dcterms:W3CDTF">2026-04-10T10:18:00Z</dcterms:created>
  <dcterms:modified xsi:type="dcterms:W3CDTF">2026-04-10T10:18:00Z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0x010100F3FB2D8382307C4FA2E80517B76D8BF5</vt:lpwstr>
  </property>
</Properties>
</file>